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media/image1.jpeg" ContentType="image/jpeg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>《全维之道》技域专论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导言：鉴衡定论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本《《技域专论》业经多维度、跨视角的精密审阅。综观各份审阅意见，其核心判断高度一致：本文立论坚实、框架自洽、结论可靠，是对</w:t>
      </w:r>
      <w:r>
        <w:rPr/>
        <w:t>"</w:t>
      </w:r>
      <w:r>
        <w:rPr/>
        <w:t>全维之道</w:t>
      </w:r>
      <w:r>
        <w:rPr/>
        <w:t>"</w:t>
      </w:r>
      <w:r>
        <w:rPr/>
        <w:t>理论体系的必要补全与关键深化。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它成功完成了三项使命：确立</w:t>
      </w:r>
      <w:r>
        <w:rPr/>
        <w:t>"</w:t>
      </w:r>
      <w:r>
        <w:rPr/>
        <w:t>技域</w:t>
      </w:r>
      <w:r>
        <w:rPr/>
        <w:t>"</w:t>
      </w:r>
      <w:r>
        <w:rPr/>
        <w:t>的分析主权：在坚持</w:t>
      </w:r>
      <w:r>
        <w:rPr/>
        <w:t>"</w:t>
      </w:r>
      <w:r>
        <w:rPr/>
        <w:t>六域</w:t>
      </w:r>
      <w:r>
        <w:rPr/>
        <w:t>"</w:t>
      </w:r>
      <w:r>
        <w:rPr/>
        <w:t>本体结构不变的前提下，将</w:t>
      </w:r>
      <w:r>
        <w:rPr/>
        <w:t>"</w:t>
      </w:r>
      <w:r>
        <w:rPr/>
        <w:t>技术</w:t>
      </w:r>
      <w:r>
        <w:rPr/>
        <w:t>"</w:t>
      </w:r>
      <w:r>
        <w:rPr/>
        <w:t>从</w:t>
      </w:r>
      <w:r>
        <w:rPr/>
        <w:t>"</w:t>
      </w:r>
      <w:r>
        <w:rPr/>
        <w:t>智域</w:t>
      </w:r>
      <w:r>
        <w:rPr/>
        <w:t>"</w:t>
      </w:r>
      <w:r>
        <w:rPr/>
        <w:t>的附庸地位中解放，赋予其兼具</w:t>
      </w:r>
      <w:r>
        <w:rPr/>
        <w:t>"</w:t>
      </w:r>
      <w:r>
        <w:rPr/>
        <w:t>物质自主性</w:t>
      </w:r>
      <w:r>
        <w:rPr/>
        <w:t>"</w:t>
      </w:r>
      <w:r>
        <w:rPr/>
        <w:t>与</w:t>
      </w:r>
      <w:r>
        <w:rPr/>
        <w:t>"</w:t>
      </w:r>
      <w:r>
        <w:rPr/>
        <w:t>文明嵌入性</w:t>
      </w:r>
      <w:r>
        <w:rPr/>
        <w:t>"</w:t>
      </w:r>
      <w:r>
        <w:rPr/>
        <w:t>的独立分析维度。提供历史的</w:t>
      </w:r>
      <w:r>
        <w:rPr/>
        <w:t>"</w:t>
      </w:r>
      <w:r>
        <w:rPr/>
        <w:t>手术刀</w:t>
      </w:r>
      <w:r>
        <w:rPr/>
        <w:t>"</w:t>
      </w:r>
      <w:r>
        <w:rPr/>
        <w:t>：提出的</w:t>
      </w:r>
      <w:r>
        <w:rPr/>
        <w:t>"</w:t>
      </w:r>
      <w:r>
        <w:rPr/>
        <w:t>双向纠缠模型</w:t>
      </w:r>
      <w:r>
        <w:rPr/>
        <w:t>"</w:t>
      </w:r>
      <w:r>
        <w:rPr/>
        <w:t>与</w:t>
      </w:r>
      <w:r>
        <w:rPr/>
        <w:t>"</w:t>
      </w:r>
      <w:r>
        <w:rPr/>
        <w:t>五大互动原型</w:t>
      </w:r>
      <w:r>
        <w:rPr/>
        <w:t>"</w:t>
      </w:r>
      <w:r>
        <w:rPr/>
        <w:t>，为剖析任何时代的技术</w:t>
      </w:r>
      <w:r>
        <w:rPr/>
        <w:t>-</w:t>
      </w:r>
      <w:r>
        <w:rPr/>
        <w:t>文明互动提供了清晰、可操作的分析框架，兼具解释力与预测力。实现理论的</w:t>
      </w:r>
      <w:r>
        <w:rPr/>
        <w:t>"</w:t>
      </w:r>
      <w:r>
        <w:rPr/>
        <w:t>大闭环</w:t>
      </w:r>
      <w:r>
        <w:rPr/>
        <w:t>"</w:t>
      </w:r>
      <w:r>
        <w:rPr/>
        <w:t>：其核心结论（如</w:t>
      </w:r>
      <w:r>
        <w:rPr/>
        <w:t>"</w:t>
      </w:r>
      <w:r>
        <w:rPr/>
        <w:t>驯化</w:t>
      </w:r>
      <w:r>
        <w:rPr/>
        <w:t>"</w:t>
      </w:r>
      <w:r>
        <w:rPr/>
        <w:t>逻辑的统一性）与《全维之道》前文（特别是第四章《帝国与先知》）深刻呼应，揭示了文明权力运作的底层一致性，使理论体系更具穿透力。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下文为融合各方审阅智慧后形成的最终定稿。修改秉承</w:t>
      </w:r>
      <w:r>
        <w:rPr/>
        <w:t>"</w:t>
      </w:r>
      <w:r>
        <w:rPr/>
        <w:t>最小必要</w:t>
      </w:r>
      <w:r>
        <w:rPr/>
        <w:t>"</w:t>
      </w:r>
      <w:r>
        <w:rPr/>
        <w:t>原则，旨在强化逻辑、校准表述、凸显内恰，使其以最锋利、最严谨的姿态，融入《全维之道》通史体系。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《全维之道》技域专论：科技与文明土壤的双向纠缠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一、核心立论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在全维六域体系架构中，技域长期归属于智域范畴之下，但层级统摄不等于属性消解。技域拥有独立的物质自主性，受物理规律、材料禀赋、能量转化逻辑的刚性约束；同时深度嵌入六域文明网络，受脉域流通需求、智域制度形态的定向塑造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当技域完成层级突破、抵达文明临界点后，又会以全域广播的形式反向作用于骨域、脉域、魂域、心域与时域，推动整个文明体系发生结构性相态变迁。</w:t>
      </w:r>
    </w:p>
    <w:p>
      <w:pPr>
        <w:pStyle w:val="Normal"/>
        <w:bidi w:val="0"/>
        <w:jc w:val="left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bidi w:val="0"/>
        <w:jc w:val="left"/>
        <w:rPr/>
      </w:pPr>
      <w:r>
        <w:rPr/>
        <w:t>由此，确立</w:t>
      </w:r>
      <w:r>
        <w:rPr/>
        <w:t>"</w:t>
      </w:r>
      <w:r>
        <w:rPr/>
        <w:t>技域—六域</w:t>
      </w:r>
      <w:r>
        <w:rPr/>
        <w:t>"</w:t>
      </w:r>
      <w:r>
        <w:rPr/>
        <w:t>双向纠缠核心模型：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脉域牵引：经济剩余与流通需求，划定技域整体投资方向与应用场景。</w:t>
      </w:r>
    </w:p>
    <w:p>
      <w:pPr>
        <w:pStyle w:val="Normal"/>
        <w:bidi w:val="0"/>
        <w:jc w:val="left"/>
        <w:rPr/>
      </w:pPr>
      <w:r>
        <w:rPr/>
        <w:t>智域筛选：政治格局与制度形态，决定技域是自由迭代竞争，还是被垄断封存、绝缘停滞。</w:t>
      </w:r>
    </w:p>
    <w:p>
      <w:pPr>
        <w:pStyle w:val="Normal"/>
        <w:bidi w:val="0"/>
        <w:jc w:val="left"/>
        <w:rPr/>
      </w:pPr>
      <w:r>
        <w:rPr/>
        <w:t>骨域改造：技域突破直接抬升环境承载力，推动人口规模、疆域开发与社会分层演变。</w:t>
      </w:r>
    </w:p>
    <w:p>
      <w:pPr>
        <w:pStyle w:val="Normal"/>
        <w:bidi w:val="0"/>
        <w:jc w:val="left"/>
        <w:rPr/>
      </w:pPr>
      <w:r>
        <w:rPr/>
        <w:t>脉域重构：技域重塑流通效率，重构物资、信息、权力、财富的流动秩序。</w:t>
      </w:r>
    </w:p>
    <w:p>
      <w:pPr>
        <w:pStyle w:val="Normal"/>
        <w:bidi w:val="0"/>
        <w:jc w:val="left"/>
        <w:rPr/>
      </w:pPr>
      <w:r>
        <w:rPr/>
        <w:t>心域塑造：技域迭代升级民众技能结构、认知水平、分工模式与行为习惯。</w:t>
      </w:r>
    </w:p>
    <w:p>
      <w:pPr>
        <w:pStyle w:val="Normal"/>
        <w:bidi w:val="0"/>
        <w:jc w:val="left"/>
        <w:rPr/>
      </w:pPr>
      <w:r>
        <w:rPr/>
        <w:t>魂域革命：技域最终撬动魂域完成观念相变，改写劳动观、时间观、价值观与文明进步观。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二、跨时代五大互动原型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原型一：需求牵引型｜农业革命至青铜时代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内在机制：骨域自然承载力抵达上限 → 形成脉域生存压力 → 资源向基础技域（水利、农具、历法）倾斜 → 技域反哺抬升骨域 → 人口扩容 → 倒逼智域复杂化，催生早期国家。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典型案例：</w:t>
      </w:r>
    </w:p>
    <w:p>
      <w:pPr>
        <w:pStyle w:val="Normal"/>
        <w:bidi w:val="0"/>
        <w:jc w:val="left"/>
        <w:rPr/>
      </w:pPr>
      <w:r>
        <w:rPr/>
        <w:t>尼罗河周期泛滥，催生垄断于祭司阶层的天文水文技域，最终与</w:t>
      </w:r>
      <w:r>
        <w:rPr/>
        <w:t>"</w:t>
      </w:r>
      <w:r>
        <w:rPr/>
        <w:t>玛阿特</w:t>
      </w:r>
      <w:r>
        <w:rPr/>
        <w:t>"</w:t>
      </w:r>
      <w:r>
        <w:rPr/>
        <w:t>秩序、神王智域深度绑定。</w:t>
      </w:r>
    </w:p>
    <w:p>
      <w:pPr>
        <w:pStyle w:val="Normal"/>
        <w:bidi w:val="0"/>
        <w:jc w:val="left"/>
        <w:rPr/>
      </w:pPr>
      <w:r>
        <w:rPr/>
        <w:t>黄河流域水患，倒逼大范围治水协作与工程技术，奠定华夏大一统智域统筹协调的底层根基。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核心规律：古典农业技域的积累速率，直接锁定文明人口密度上限；人口密度阈值，进一步决定智域从部落联盟走向成熟国家的演化速度。技域是连通骨域生存基础与智域秩序构建的核心中介。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原型二：竞争加速型｜铁器普及与列国争霸时代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内在机制：智域格局分裂，多国并立 → 战争与贸易构成强脉域压力 → 资源向军事、工程类实用技域集中 → 技术快速迭代 → 打破地缘平衡，推动智域重组（统一或霸权）。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典型案例：</w:t>
      </w:r>
    </w:p>
    <w:p>
      <w:pPr>
        <w:pStyle w:val="Normal"/>
        <w:bidi w:val="0"/>
        <w:jc w:val="left"/>
        <w:rPr/>
      </w:pPr>
      <w:r>
        <w:rPr/>
        <w:t>欧洲中世纪列国竞争，倒逼火炮、航海、城防技术革新，推动近代民族国家与中央集权成型。</w:t>
      </w:r>
    </w:p>
    <w:p>
      <w:pPr>
        <w:pStyle w:val="Normal"/>
        <w:bidi w:val="0"/>
        <w:jc w:val="left"/>
        <w:rPr/>
      </w:pPr>
      <w:r>
        <w:rPr/>
        <w:t>华夏战国铁器化、兵器制式化与全民兵役制，共同助推以</w:t>
      </w:r>
      <w:r>
        <w:rPr/>
        <w:t>"</w:t>
      </w:r>
      <w:r>
        <w:rPr/>
        <w:t>富国强兵</w:t>
      </w:r>
      <w:r>
        <w:rPr/>
        <w:t>"</w:t>
      </w:r>
      <w:r>
        <w:rPr/>
        <w:t>为核的法家集权智域崛起。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对</w:t>
      </w:r>
      <w:r>
        <w:rPr/>
        <w:t>"</w:t>
      </w:r>
      <w:r>
        <w:rPr/>
        <w:t>李约瑟难题</w:t>
      </w:r>
      <w:r>
        <w:rPr/>
        <w:t>"</w:t>
      </w:r>
      <w:r>
        <w:rPr/>
        <w:t>的六域重解：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宋代以降，华夏大一统智域彻底固化，皇权主导的秩序体系完成对精英的魂域驯化，科举制度将顶层智力牢牢锁定于儒家义理。实用技艺被系统性地标签为</w:t>
      </w:r>
      <w:r>
        <w:rPr/>
        <w:t>"</w:t>
      </w:r>
      <w:r>
        <w:rPr/>
        <w:t>奇技淫巧</w:t>
      </w:r>
      <w:r>
        <w:rPr/>
        <w:t>"</w:t>
      </w:r>
      <w:r>
        <w:rPr/>
        <w:t>，形成自上而下的技域绝缘壁垒</w:t>
      </w:r>
      <w:r>
        <w:rPr/>
        <w:t>[1]</w:t>
      </w:r>
      <w:r>
        <w:rPr/>
        <w:t>。反观欧洲长期维持智域碎片化格局，缺乏全域性的思想驯化与秩序禁锢，战争与贸易带来的持续竞争压力，为技术研发提供了现实的收益、试错空间与迭代动力。二者差距根源，非关文化特质，而在于智域结构对技域潜能形成的</w:t>
      </w:r>
      <w:r>
        <w:rPr/>
        <w:t>"</w:t>
      </w:r>
      <w:r>
        <w:rPr/>
        <w:t>选择性屏蔽</w:t>
      </w:r>
      <w:r>
        <w:rPr/>
        <w:t>"</w:t>
      </w:r>
      <w:r>
        <w:rPr/>
        <w:t>。此绝缘并非绝对禁止，而是抑制了颠覆性创新的土壤，使技术被限定于维系既有秩序的渐进改良之内。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核心规律：地缘竞争是技域迭代最强的外部选择压力；大一统集权垄断则极易构筑抑制颠覆性创新的技域绝缘层。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原型三：制度催化型｜信息传播技术变革时代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内在机制：信息载体类技域突破 → 知识封装、复制、传播成本骤降 → 脉域知识流动秩序重构 → 旧有知识解释权与话语权被动摇 → 倒逼智域权力结构调整 → 最终推动魂域思想体系超临界重构。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典型案例：</w:t>
      </w:r>
    </w:p>
    <w:p>
      <w:pPr>
        <w:pStyle w:val="Normal"/>
        <w:bidi w:val="0"/>
        <w:jc w:val="left"/>
        <w:rPr/>
      </w:pPr>
      <w:r>
        <w:rPr/>
        <w:t>欧洲古腾堡印刷术普及，大幅降低圣经获取成本，民众得以直研原典，瓦解教廷对教义的垄断解释权，直接催化宗教改革与民族语言觉醒，为近代民族国家智域扫清障碍</w:t>
      </w:r>
      <w:r>
        <w:rPr/>
        <w:t>[2]</w:t>
      </w:r>
      <w:r>
        <w:rPr/>
        <w:t>。</w:t>
      </w:r>
    </w:p>
    <w:p>
      <w:pPr>
        <w:pStyle w:val="Normal"/>
        <w:bidi w:val="0"/>
        <w:jc w:val="left"/>
        <w:rPr/>
      </w:pPr>
      <w:r>
        <w:rPr/>
        <w:t>华夏造纸与雕版印刷成熟，实现儒家典籍批量生产，为科举制度全面铺开奠定物质基础，使儒家魂域与官僚智域的耦合空前稳固</w:t>
      </w:r>
      <w:r>
        <w:rPr/>
        <w:t>[3]</w:t>
      </w:r>
      <w:r>
        <w:rPr/>
        <w:t>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核心规律：信息封装技术是撬动魂域思想变革的催化剂。而技术最终走向解构旧权威，还是巩固既有秩序，完全由其所嵌入文明的智域形态决定。分散竞争格局下，它是解构的利器；大一统格局下，它是秩序的纽带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原型四：能源材料革命型｜蒸汽工业文明时代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内在机制：骨域能源禀赋、全球脉域市场、成熟法治智域三者共振 → 引发煤炭、机械、冶金等核心技域集群式突破 → 骨域生存承载力指数级跃升 → 全面改写城市、阶级、社会秩序与全民行为纪律。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工业革命的六域适配逻辑：</w:t>
      </w:r>
    </w:p>
    <w:p>
      <w:pPr>
        <w:pStyle w:val="Normal"/>
        <w:bidi w:val="0"/>
        <w:jc w:val="left"/>
        <w:rPr/>
      </w:pPr>
      <w:r>
        <w:rPr/>
        <w:t xml:space="preserve">        </w:t>
      </w:r>
      <w:r>
        <w:rPr/>
        <w:t>英国                                       中国明朝</w:t>
      </w:r>
    </w:p>
    <w:p>
      <w:pPr>
        <w:pStyle w:val="Normal"/>
        <w:bidi w:val="0"/>
        <w:jc w:val="left"/>
        <w:rPr/>
      </w:pPr>
      <w:r>
        <w:rPr/>
        <mc:AlternateContent>
          <mc:Choice Requires="wps">
            <w:drawing>
              <wp:inline distT="0" distB="0" distL="0" distR="0">
                <wp:extent cx="6119495" cy="3444240"/>
                <wp:effectExtent l="0" t="0" r="0" b="0"/>
                <wp:docPr id="1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6119640" cy="34441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</mc:AlternateConten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原型五：信息过载型｜数字智能时代（历史进行中）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内在机制：数字网络技域普及，信息生产成本趋近于零 → 脉域核心资源从物资转向</w:t>
      </w:r>
      <w:r>
        <w:rPr/>
        <w:t>"</w:t>
      </w:r>
      <w:r>
        <w:rPr/>
        <w:t>注意力</w:t>
      </w:r>
      <w:r>
        <w:rPr/>
        <w:t xml:space="preserve">" → </w:t>
      </w:r>
      <w:r>
        <w:rPr/>
        <w:t>全域信息泛滥过载 → 公共共识凝聚难度剧增，魂域认知圈层极化 → 智域决策逻辑向算法黑箱偏移。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典型映射：</w:t>
      </w:r>
    </w:p>
    <w:p>
      <w:pPr>
        <w:pStyle w:val="Normal"/>
        <w:bidi w:val="0"/>
        <w:jc w:val="left"/>
        <w:rPr/>
      </w:pPr>
      <w:r>
        <w:rPr/>
        <w:t>互联网打破传播垄断，人人皆可生产内容，算法推荐催生</w:t>
      </w:r>
      <w:r>
        <w:rPr/>
        <w:t>"</w:t>
      </w:r>
      <w:r>
        <w:rPr/>
        <w:t>信息茧房</w:t>
      </w:r>
      <w:r>
        <w:rPr/>
        <w:t>"</w:t>
      </w:r>
      <w:r>
        <w:rPr/>
        <w:t>，群体认知撕裂，</w:t>
      </w:r>
      <w:r>
        <w:rPr/>
        <w:t>"</w:t>
      </w:r>
      <w:r>
        <w:rPr/>
        <w:t>后真相</w:t>
      </w:r>
      <w:r>
        <w:rPr/>
        <w:t>"</w:t>
      </w:r>
      <w:r>
        <w:rPr/>
        <w:t>时代来临</w:t>
      </w:r>
      <w:r>
        <w:rPr/>
        <w:t>[5]</w:t>
      </w:r>
      <w:r>
        <w:rPr/>
        <w:t>。</w:t>
      </w:r>
    </w:p>
    <w:p>
      <w:pPr>
        <w:pStyle w:val="Normal"/>
        <w:bidi w:val="0"/>
        <w:jc w:val="left"/>
        <w:rPr/>
      </w:pPr>
      <w:r>
        <w:rPr/>
        <w:t>AI</w:t>
      </w:r>
      <w:r>
        <w:rPr/>
        <w:t>生成式技术迭代，进一步模糊真实与虚构的边界，冲击人类传统的鉴衡与思辨元能力，社会信任体系趋向脆性化。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核心规律：人类每一次信息传播技术革命，都会同步引发魂域思想秩序的剧烈震荡与重组。技术实现普惠，绝不必然导向思想和谐，反而可能在新维度上制造认知分裂与权威解构。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三、技域迭代对六域的全域重塑路径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下表概括了主要技术集群对文明六域的典型重塑方向，可作为通史叙事中的分析框架：</w:t>
      </w:r>
    </w:p>
    <w:p>
      <w:pPr>
        <w:pStyle w:val="Normal"/>
        <w:bidi w:val="0"/>
        <w:jc w:val="left"/>
        <w:rPr/>
      </w:pPr>
      <w:r>
        <w:rPr/>
      </w:r>
    </w:p>
    <w:tbl>
      <w:tblPr>
        <w:tblW w:w="9638" w:type="dxa"/>
        <w:jc w:val="left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</w:tblPr>
      <w:tblGrid>
        <w:gridCol w:w="657"/>
        <w:gridCol w:w="1606"/>
        <w:gridCol w:w="1088"/>
        <w:gridCol w:w="1182"/>
        <w:gridCol w:w="1107"/>
        <w:gridCol w:w="1624"/>
        <w:gridCol w:w="1126"/>
        <w:gridCol w:w="1248"/>
      </w:tblGrid>
      <w:tr>
        <w:trPr/>
        <w:tc>
          <w:tcPr>
            <w:tcW w:w="657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技术阶段</w:t>
            </w:r>
          </w:p>
        </w:tc>
        <w:tc>
          <w:tcPr>
            <w:tcW w:w="1606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经济生产变革</w:t>
            </w:r>
          </w:p>
        </w:tc>
        <w:tc>
          <w:tcPr>
            <w:tcW w:w="1088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人口与疆域变化</w:t>
            </w:r>
          </w:p>
        </w:tc>
        <w:tc>
          <w:tcPr>
            <w:tcW w:w="1182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政治格局演变</w:t>
            </w:r>
          </w:p>
        </w:tc>
        <w:tc>
          <w:tcPr>
            <w:tcW w:w="1107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思想价值观念</w:t>
            </w:r>
          </w:p>
        </w:tc>
        <w:tc>
          <w:tcPr>
            <w:tcW w:w="1624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阶层与劳动关系</w:t>
            </w:r>
          </w:p>
        </w:tc>
        <w:tc>
          <w:tcPr>
            <w:tcW w:w="1126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技术传播</w:t>
            </w:r>
            <w:r>
              <w:rPr/>
              <w:t>&amp;</w:t>
            </w:r>
            <w:r>
              <w:rPr/>
              <w:t>发展特征</w:t>
            </w:r>
          </w:p>
        </w:tc>
        <w:tc>
          <w:tcPr>
            <w:tcW w:w="1248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时空与社会形态变化</w:t>
            </w:r>
          </w:p>
        </w:tc>
      </w:tr>
      <w:tr>
        <w:trPr/>
        <w:tc>
          <w:tcPr>
            <w:tcW w:w="657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青铜冶铸</w:t>
            </w:r>
          </w:p>
        </w:tc>
        <w:tc>
          <w:tcPr>
            <w:tcW w:w="1606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农业剩余产能提升，物资依托礼器构建流通网络</w:t>
            </w:r>
          </w:p>
        </w:tc>
        <w:tc>
          <w:tcPr>
            <w:tcW w:w="1088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早期城邦逐步兴起</w:t>
            </w:r>
          </w:p>
        </w:tc>
        <w:tc>
          <w:tcPr>
            <w:tcW w:w="1182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王权依托礼器确立统治，祭祀信仰走向中心化统一</w:t>
            </w:r>
          </w:p>
        </w:tc>
        <w:tc>
          <w:tcPr>
            <w:tcW w:w="1107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神权祭祀为核心主流思想</w:t>
            </w:r>
          </w:p>
        </w:tc>
        <w:tc>
          <w:tcPr>
            <w:tcW w:w="1624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祭司、工匠形成特权阶层，职业身份固定固化</w:t>
            </w:r>
          </w:p>
        </w:tc>
        <w:tc>
          <w:tcPr>
            <w:tcW w:w="1126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手工技艺家族秘传，技术壁垒极高</w:t>
            </w:r>
          </w:p>
        </w:tc>
        <w:tc>
          <w:tcPr>
            <w:tcW w:w="1248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王朝存续兴衰和矿产资源深度绑定</w:t>
            </w:r>
          </w:p>
        </w:tc>
      </w:tr>
      <w:tr>
        <w:trPr/>
        <w:tc>
          <w:tcPr>
            <w:tcW w:w="657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铁器普及</w:t>
            </w:r>
          </w:p>
        </w:tc>
        <w:tc>
          <w:tcPr>
            <w:tcW w:w="1606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耕地开垦范围大幅拓展，民间商贸愈发繁荣</w:t>
            </w:r>
          </w:p>
        </w:tc>
        <w:tc>
          <w:tcPr>
            <w:tcW w:w="1088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人口规模快速增长</w:t>
            </w:r>
          </w:p>
        </w:tc>
        <w:tc>
          <w:tcPr>
            <w:tcW w:w="1182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列国争霸局势稳固，世俗官僚体系开始萌芽</w:t>
            </w:r>
          </w:p>
        </w:tc>
        <w:tc>
          <w:tcPr>
            <w:tcW w:w="1107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劳动、战争价值被重新定义认知</w:t>
            </w:r>
          </w:p>
        </w:tc>
        <w:tc>
          <w:tcPr>
            <w:tcW w:w="1624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贵族层级弱化，平民参与战争与生产</w:t>
            </w:r>
          </w:p>
        </w:tc>
        <w:tc>
          <w:tcPr>
            <w:tcW w:w="1126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实用技艺自由流转，工匠群体规模化形成</w:t>
            </w:r>
          </w:p>
        </w:tc>
        <w:tc>
          <w:tcPr>
            <w:tcW w:w="1248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技术传播速度直接限制帝国扩张边界</w:t>
            </w:r>
          </w:p>
        </w:tc>
      </w:tr>
      <w:tr>
        <w:trPr/>
        <w:tc>
          <w:tcPr>
            <w:tcW w:w="657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造纸印刷</w:t>
            </w:r>
          </w:p>
        </w:tc>
        <w:tc>
          <w:tcPr>
            <w:tcW w:w="1606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知识存储成本大幅降低，文化普及具备基础条件</w:t>
            </w:r>
          </w:p>
        </w:tc>
        <w:tc>
          <w:tcPr>
            <w:tcW w:w="1088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地域人口文化差异逐步缩小</w:t>
            </w:r>
          </w:p>
        </w:tc>
        <w:tc>
          <w:tcPr>
            <w:tcW w:w="1182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科举制诞生，社会阶层流动通道成型</w:t>
            </w:r>
          </w:p>
        </w:tc>
        <w:tc>
          <w:tcPr>
            <w:tcW w:w="1107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传统思想权威受到多元解读冲击</w:t>
            </w:r>
          </w:p>
        </w:tc>
        <w:tc>
          <w:tcPr>
            <w:tcW w:w="1624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知识不再垄断小众，民众思辨能力普遍提升</w:t>
            </w:r>
          </w:p>
        </w:tc>
        <w:tc>
          <w:tcPr>
            <w:tcW w:w="1126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知识积累从平缓增长转向指数级潜力增长</w:t>
            </w:r>
          </w:p>
        </w:tc>
        <w:tc>
          <w:tcPr>
            <w:tcW w:w="1248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跨区域信息传播提速，通用民族语言形成</w:t>
            </w:r>
          </w:p>
        </w:tc>
      </w:tr>
      <w:tr>
        <w:trPr/>
        <w:tc>
          <w:tcPr>
            <w:tcW w:w="657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蒸汽煤炭</w:t>
            </w:r>
          </w:p>
        </w:tc>
        <w:tc>
          <w:tcPr>
            <w:tcW w:w="1606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化石能源重塑产业结构，工厂规模化生产成型</w:t>
            </w:r>
          </w:p>
        </w:tc>
        <w:tc>
          <w:tcPr>
            <w:tcW w:w="1088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近代大型城市群聚集成型</w:t>
            </w:r>
          </w:p>
        </w:tc>
        <w:tc>
          <w:tcPr>
            <w:tcW w:w="1182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铁路贯通全域，民族国家规范化治理建立</w:t>
            </w:r>
          </w:p>
        </w:tc>
        <w:tc>
          <w:tcPr>
            <w:tcW w:w="1107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线性进步史观盛行，循环历史观念消退</w:t>
            </w:r>
          </w:p>
        </w:tc>
        <w:tc>
          <w:tcPr>
            <w:tcW w:w="1624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工业标准化作息诞生，劳动异化现象显现</w:t>
            </w:r>
          </w:p>
        </w:tc>
        <w:tc>
          <w:tcPr>
            <w:tcW w:w="1126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工业技术规模化应用，体系化迭代发展</w:t>
            </w:r>
          </w:p>
        </w:tc>
        <w:tc>
          <w:tcPr>
            <w:tcW w:w="1248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全球统一市场打通，文明演进走向线性向前模式</w:t>
            </w:r>
          </w:p>
        </w:tc>
      </w:tr>
      <w:tr>
        <w:trPr/>
        <w:tc>
          <w:tcPr>
            <w:tcW w:w="657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电力内燃机</w:t>
            </w:r>
          </w:p>
        </w:tc>
        <w:tc>
          <w:tcPr>
            <w:tcW w:w="1606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石油成为核心战略资源，大众消费产业蓬勃发展</w:t>
            </w:r>
          </w:p>
        </w:tc>
        <w:tc>
          <w:tcPr>
            <w:tcW w:w="1088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城乡人口结构彻底重构</w:t>
            </w:r>
          </w:p>
        </w:tc>
        <w:tc>
          <w:tcPr>
            <w:tcW w:w="1182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现代企业制度成熟，商业影响力介入社会认知</w:t>
            </w:r>
          </w:p>
        </w:tc>
        <w:tc>
          <w:tcPr>
            <w:tcW w:w="1107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奋斗、消费成为大众主流价值取向</w:t>
            </w:r>
          </w:p>
        </w:tc>
        <w:tc>
          <w:tcPr>
            <w:tcW w:w="1624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脑力、体力劳动层级划分固化，专业技能地位拔高</w:t>
            </w:r>
          </w:p>
        </w:tc>
        <w:tc>
          <w:tcPr>
            <w:tcW w:w="1126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动力技术全面普及，应用场景多元化拓展</w:t>
            </w:r>
          </w:p>
        </w:tc>
        <w:tc>
          <w:tcPr>
            <w:tcW w:w="1248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人类活动突破昼夜限制，超前透支未来成为普遍心态</w:t>
            </w:r>
          </w:p>
        </w:tc>
      </w:tr>
      <w:tr>
        <w:trPr/>
        <w:tc>
          <w:tcPr>
            <w:tcW w:w="657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数字</w:t>
            </w:r>
            <w:r>
              <w:rPr/>
              <w:t>AI</w:t>
            </w:r>
          </w:p>
        </w:tc>
        <w:tc>
          <w:tcPr>
            <w:tcW w:w="1606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虚拟经济蓬勃发展，实体地理约束大幅减弱</w:t>
            </w:r>
          </w:p>
        </w:tc>
        <w:tc>
          <w:tcPr>
            <w:tcW w:w="1088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线上圈层人口聚集，线下地域联结弱化</w:t>
            </w:r>
          </w:p>
        </w:tc>
        <w:tc>
          <w:tcPr>
            <w:tcW w:w="1182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算法形成新型治理模式，平台诞生全新权力形态</w:t>
            </w:r>
          </w:p>
        </w:tc>
        <w:tc>
          <w:tcPr>
            <w:tcW w:w="1107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认知两极分化，虚无主义、圈层对立加剧</w:t>
            </w:r>
          </w:p>
        </w:tc>
        <w:tc>
          <w:tcPr>
            <w:tcW w:w="1624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大众心智碎片化，对算法产生深度认知依赖</w:t>
            </w:r>
          </w:p>
        </w:tc>
        <w:tc>
          <w:tcPr>
            <w:tcW w:w="1126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ind w:hanging="0" w:left="0" w:right="0"/>
              <w:rPr/>
            </w:pPr>
            <w:r>
              <w:rPr/>
              <w:t>信息极速扩散，技术迭代更新节奏大幅加快</w:t>
            </w:r>
          </w:p>
        </w:tc>
        <w:tc>
          <w:tcPr>
            <w:tcW w:w="1248" w:type="dxa"/>
            <w:tcBorders>
              <w:top w:val="single" w:sz="2" w:space="0" w:color="D0D0D0"/>
              <w:left w:val="single" w:sz="2" w:space="0" w:color="D0D0D0"/>
              <w:bottom w:val="single" w:sz="2" w:space="0" w:color="D0D0D0"/>
              <w:right w:val="single" w:sz="2" w:space="0" w:color="D0D0D0"/>
            </w:tcBorders>
            <w:vAlign w:val="center"/>
          </w:tcPr>
          <w:p>
            <w:pPr>
              <w:pStyle w:val="TableContents"/>
              <w:rPr/>
            </w:pPr>
            <w:r>
              <w:rPr/>
              <w:t>历史厚重感消解，社会整体陷入即时当下状态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注：此表呈现了主导性的重塑方向。需注意，技域突破也常率先对骨域（如环境破坏）、心域（如异化与焦虑）产生反噬性冲击，进而才倒逼智域与魂域进行适应性的调整与重构。例如，核武器威胁生存（骨域），倒逼出核不扩散机制（智域）；社交媒体引发心理危机（心域），催生对数字健康的反思（魂域）。这体现了</w:t>
      </w:r>
      <w:r>
        <w:rPr/>
        <w:t>"</w:t>
      </w:r>
      <w:r>
        <w:rPr/>
        <w:t>双向纠缠</w:t>
      </w:r>
      <w:r>
        <w:rPr/>
        <w:t>"</w:t>
      </w:r>
      <w:r>
        <w:rPr/>
        <w:t>模型中危机驱动的另一面。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四、全域底层核心定论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技域的双重边界约束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硬上限：一切技术迭代无法突破物质世界的固有物理极限。能源禀赋、材料属性、自然规律划定了技域发展不可逾越的客观底线。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软路径：同一种技术成果，嵌入不同的六域文明相态中，会走向截然不同的命运。火药在欧洲瓦解封建秩序，在传统帝国则多被限用于庆典仪式；印刷术分化了西方信仰，却巩固了东方的礼制秩序</w:t>
      </w:r>
      <w:r>
        <w:rPr/>
        <w:t>[6]</w:t>
      </w:r>
      <w:r>
        <w:rPr/>
        <w:t>。技术提供了可能性，文明决定了现实性。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文明演进的终极公式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技域突破是文明进阶的必要条件，六域整体相态适配是文明转型的充分条件。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缺失核心技域支撑，文明发展将陷入长期停滞；仅有技术革新，而无适配的制度、思想、社会土壤承接，技术力量只会空耗消散，无法完成文明层级的跃迁。技术始终在等待文明六域网络的接收频率，而频率高低，最终由骨域结构、智域制度形态、魂域思想浓度共同决定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体系联动的统一准则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前文所述帝国时代对魂域思想的</w:t>
      </w:r>
      <w:r>
        <w:rPr/>
        <w:t>"</w:t>
      </w:r>
      <w:r>
        <w:rPr/>
        <w:t>驯化</w:t>
      </w:r>
      <w:r>
        <w:rPr/>
        <w:t>"</w:t>
      </w:r>
      <w:r>
        <w:rPr/>
        <w:t>秩序，与世俗体系对技域实用技术的</w:t>
      </w:r>
      <w:r>
        <w:rPr/>
        <w:t>"</w:t>
      </w:r>
      <w:r>
        <w:rPr/>
        <w:t>筛选</w:t>
      </w:r>
      <w:r>
        <w:rPr/>
        <w:t>"</w:t>
      </w:r>
      <w:r>
        <w:rPr/>
        <w:t>与</w:t>
      </w:r>
      <w:r>
        <w:rPr/>
        <w:t>"</w:t>
      </w:r>
      <w:r>
        <w:rPr/>
        <w:t>绝缘</w:t>
      </w:r>
      <w:r>
        <w:rPr/>
        <w:t>"</w:t>
      </w:r>
      <w:r>
        <w:rPr/>
        <w:t>，共享同一套六域约束逻辑。在大一统或强固化的文明格局之下，无论是精神思想还是物质技术，都会经历一套完整的</w:t>
      </w:r>
      <w:r>
        <w:rPr/>
        <w:t>"</w:t>
      </w:r>
      <w:r>
        <w:rPr/>
        <w:t>筛选</w:t>
      </w:r>
      <w:r>
        <w:rPr/>
        <w:t>-</w:t>
      </w:r>
      <w:r>
        <w:rPr/>
        <w:t>改造</w:t>
      </w:r>
      <w:r>
        <w:rPr/>
        <w:t>-</w:t>
      </w:r>
      <w:r>
        <w:rPr/>
        <w:t>规训</w:t>
      </w:r>
      <w:r>
        <w:rPr/>
        <w:t>-</w:t>
      </w:r>
      <w:r>
        <w:rPr/>
        <w:t>绝缘</w:t>
      </w:r>
      <w:r>
        <w:rPr/>
        <w:t>"</w:t>
      </w:r>
      <w:r>
        <w:rPr/>
        <w:t>流程，其首要目的是服务于既有秩序的稳固与延续。这一准则揭示了文明权力自我维护的深层一致性。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五、通史正文嵌入规划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自《全维之道：世界通史大纲》第五章（中世纪）起，每一章将固定增设「技域纠缠」独立专节，以实现物质技术、地理格局、精神思想三维叙事并行，彻底补齐传统通史叙事的短板。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第五章 中世纪：聚焦重犁、水磨、马蹄铁改造欧亚庄园经济；造纸印刷术东传西渐重构知识权力；阿拉伯数字与商业算法重塑贸易逻辑。</w:t>
      </w:r>
    </w:p>
    <w:p>
      <w:pPr>
        <w:pStyle w:val="Normal"/>
        <w:bidi w:val="0"/>
        <w:jc w:val="left"/>
        <w:rPr/>
      </w:pPr>
      <w:r>
        <w:rPr/>
        <w:t>第六章 大航海与早期近代：聚焦罗盘、星盘、远洋帆船技术重构全球骨域认知；火药武器催生近代国家的暴力垄断；复式记账与股份制奠定资本主义萌芽的技域基础。</w:t>
      </w:r>
    </w:p>
    <w:p>
      <w:pPr>
        <w:pStyle w:val="Normal"/>
        <w:bidi w:val="0"/>
        <w:jc w:val="left"/>
        <w:rPr/>
      </w:pPr>
      <w:r>
        <w:rPr/>
        <w:t>第七章 工业革命时代：全景分析煤炭蒸汽体系如何重塑能源秩序；铁路、电报如何压缩时空；并深入探讨这些技域集群如何催生全新的社会伦理、劳动观念与</w:t>
      </w:r>
      <w:r>
        <w:rPr/>
        <w:t>"</w:t>
      </w:r>
      <w:r>
        <w:rPr/>
        <w:t>进步</w:t>
      </w:r>
      <w:r>
        <w:rPr/>
        <w:t>"</w:t>
      </w:r>
      <w:r>
        <w:rPr/>
        <w:t>意识形态。</w:t>
      </w:r>
    </w:p>
    <w:p>
      <w:pPr>
        <w:pStyle w:val="Normal"/>
        <w:bidi w:val="0"/>
        <w:jc w:val="left"/>
        <w:rPr/>
      </w:pPr>
      <w:r>
        <w:rPr/>
        <w:t>第八章 现代与数字文明：深度剖析半导体、互联网、人工智能技术如何拆解传统社会结构；如何重构人类认知、社交、组织与权力运行的模式；诊断当下文明在技域狂飙中面临的心智与伦理困境。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---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参考文献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[1] </w:t>
      </w:r>
      <w:r>
        <w:rPr/>
        <w:t>李约瑟</w:t>
      </w:r>
      <w:r>
        <w:rPr/>
        <w:t xml:space="preserve">. </w:t>
      </w:r>
      <w:r>
        <w:rPr/>
        <w:t>中国科学技术史</w:t>
      </w:r>
      <w:r>
        <w:rPr/>
        <w:t xml:space="preserve">[M]. </w:t>
      </w:r>
      <w:r>
        <w:rPr/>
        <w:t>剑桥</w:t>
      </w:r>
      <w:r>
        <w:rPr/>
        <w:t xml:space="preserve">: </w:t>
      </w:r>
      <w:r>
        <w:rPr/>
        <w:t>剑桥大学出版社</w:t>
      </w:r>
      <w:r>
        <w:rPr/>
        <w:t>, 1954-2008.</w:t>
      </w:r>
    </w:p>
    <w:p>
      <w:pPr>
        <w:pStyle w:val="Normal"/>
        <w:bidi w:val="0"/>
        <w:jc w:val="left"/>
        <w:rPr/>
      </w:pPr>
      <w:r>
        <w:rPr/>
        <w:t xml:space="preserve">[2] </w:t>
      </w:r>
      <w:r>
        <w:rPr/>
        <w:t>爱森斯坦</w:t>
      </w:r>
      <w:r>
        <w:rPr/>
        <w:t xml:space="preserve">. </w:t>
      </w:r>
      <w:r>
        <w:rPr/>
        <w:t>作为变革动因的印刷机</w:t>
      </w:r>
      <w:r>
        <w:rPr/>
        <w:t xml:space="preserve">[M]. </w:t>
      </w:r>
      <w:r>
        <w:rPr/>
        <w:t>剑桥</w:t>
      </w:r>
      <w:r>
        <w:rPr/>
        <w:t xml:space="preserve">: </w:t>
      </w:r>
      <w:r>
        <w:rPr/>
        <w:t>剑桥大学出版社</w:t>
      </w:r>
      <w:r>
        <w:rPr/>
        <w:t>, 1979.</w:t>
      </w:r>
    </w:p>
    <w:p>
      <w:pPr>
        <w:pStyle w:val="Normal"/>
        <w:bidi w:val="0"/>
        <w:jc w:val="left"/>
        <w:rPr/>
      </w:pPr>
      <w:r>
        <w:rPr/>
        <w:t xml:space="preserve">[3] </w:t>
      </w:r>
      <w:r>
        <w:rPr/>
        <w:t>钱存训</w:t>
      </w:r>
      <w:r>
        <w:rPr/>
        <w:t xml:space="preserve">. </w:t>
      </w:r>
      <w:r>
        <w:rPr/>
        <w:t>书于竹帛</w:t>
      </w:r>
      <w:r>
        <w:rPr/>
        <w:t xml:space="preserve">[M]. </w:t>
      </w:r>
      <w:r>
        <w:rPr/>
        <w:t>芝加哥</w:t>
      </w:r>
      <w:r>
        <w:rPr/>
        <w:t xml:space="preserve">: </w:t>
      </w:r>
      <w:r>
        <w:rPr/>
        <w:t>芝加哥大学出版社</w:t>
      </w:r>
      <w:r>
        <w:rPr/>
        <w:t>, 1962.</w:t>
      </w:r>
    </w:p>
    <w:p>
      <w:pPr>
        <w:pStyle w:val="Normal"/>
        <w:bidi w:val="0"/>
        <w:jc w:val="left"/>
        <w:rPr/>
      </w:pPr>
      <w:r>
        <w:rPr/>
        <w:t xml:space="preserve">[4] </w:t>
      </w:r>
      <w:r>
        <w:rPr/>
        <w:t>韦伯</w:t>
      </w:r>
      <w:r>
        <w:rPr/>
        <w:t xml:space="preserve">. </w:t>
      </w:r>
      <w:r>
        <w:rPr/>
        <w:t>新教伦理与资本主义精神</w:t>
      </w:r>
      <w:r>
        <w:rPr/>
        <w:t>[M]. 1905.</w:t>
      </w:r>
    </w:p>
    <w:p>
      <w:pPr>
        <w:pStyle w:val="Normal"/>
        <w:bidi w:val="0"/>
        <w:jc w:val="left"/>
        <w:rPr/>
      </w:pPr>
      <w:r>
        <w:rPr/>
        <w:t xml:space="preserve">[5] </w:t>
      </w:r>
      <w:r>
        <w:rPr/>
        <w:t>桑斯坦</w:t>
      </w:r>
      <w:r>
        <w:rPr/>
        <w:t xml:space="preserve">. </w:t>
      </w:r>
      <w:r>
        <w:rPr/>
        <w:t>信息乌托邦</w:t>
      </w:r>
      <w:r>
        <w:rPr/>
        <w:t xml:space="preserve">[M]. </w:t>
      </w:r>
      <w:r>
        <w:rPr/>
        <w:t>哈佛</w:t>
      </w:r>
      <w:r>
        <w:rPr/>
        <w:t xml:space="preserve">: </w:t>
      </w:r>
      <w:r>
        <w:rPr/>
        <w:t>哈佛大学出版社</w:t>
      </w:r>
      <w:r>
        <w:rPr/>
        <w:t>, 2006.</w:t>
      </w:r>
    </w:p>
    <w:p>
      <w:pPr>
        <w:pStyle w:val="Normal"/>
        <w:bidi w:val="0"/>
        <w:jc w:val="left"/>
        <w:rPr/>
      </w:pPr>
      <w:r>
        <w:rPr/>
        <w:t xml:space="preserve">[6] </w:t>
      </w:r>
      <w:r>
        <w:rPr/>
        <w:t>戴蒙德</w:t>
      </w:r>
      <w:r>
        <w:rPr/>
        <w:t xml:space="preserve">. </w:t>
      </w:r>
      <w:r>
        <w:rPr/>
        <w:t>枪炮、病菌与钢铁</w:t>
      </w:r>
      <w:r>
        <w:rPr/>
        <w:t xml:space="preserve">[M]. </w:t>
      </w:r>
      <w:r>
        <w:rPr/>
        <w:t>纽约</w:t>
      </w:r>
      <w:r>
        <w:rPr/>
        <w:t>: W.W. Norton, 1997.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---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原创性声明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本文</w:t>
      </w:r>
      <w:r>
        <w:rPr/>
        <w:t>"</w:t>
      </w:r>
      <w:r>
        <w:rPr/>
        <w:t>双向纠缠模型</w:t>
      </w:r>
      <w:r>
        <w:rPr/>
        <w:t>""</w:t>
      </w:r>
      <w:r>
        <w:rPr/>
        <w:t>五大互动原型</w:t>
      </w:r>
      <w:r>
        <w:rPr/>
        <w:t>""</w:t>
      </w:r>
      <w:r>
        <w:rPr/>
        <w:t>六域重塑路径表</w:t>
      </w:r>
      <w:r>
        <w:rPr/>
        <w:t>"</w:t>
      </w:r>
      <w:r>
        <w:rPr/>
        <w:t>及</w:t>
      </w:r>
      <w:r>
        <w:rPr/>
        <w:t>"</w:t>
      </w:r>
      <w:r>
        <w:rPr/>
        <w:t>驯化逻辑统一性</w:t>
      </w:r>
      <w:r>
        <w:rPr/>
        <w:t>"</w:t>
      </w:r>
      <w:r>
        <w:rPr/>
        <w:t>等核心框架，均为作者原创性理论建构。文中</w:t>
      </w:r>
      <w:r>
        <w:rPr/>
        <w:t>"</w:t>
      </w:r>
      <w:r>
        <w:rPr/>
        <w:t>六域适配逻辑</w:t>
      </w:r>
      <w:r>
        <w:rPr/>
        <w:t>"</w:t>
      </w:r>
      <w:r>
        <w:rPr/>
        <w:t>等整合性分析，系作者基于既有学术成果的重构，已标注引用来源。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Noto Sans CJK SC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420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Noto Sans CJK SC" w:hAnsi="Noto Sans CJK SC" w:eastAsia="Noto Sans CJK SC" w:cs="Noto Sans CJK SC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Noto Sans CJK SC" w:hAnsi="Noto Sans CJK SC" w:eastAsia="Noto Sans CJK SC" w:cs="Noto Sans CJK SC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Noto Sans CJK SC" w:hAnsi="Noto Sans CJK SC" w:eastAsia="Noto Sans CJK SC" w:cs="Noto Sans CJK SC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LibreOfficeDev/24.8.7.2.0$Android_AARCH64 LibreOffice_project/</Application>
  <AppVersion>15.0000</AppVersion>
  <Pages>6</Pages>
  <Words>4538</Words>
  <Characters>4625</Characters>
  <CharactersWithSpaces>4747</CharactersWithSpaces>
  <Paragraphs>133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2026-05-22T14:28:42Z</dcterms:created>
  <dc:creator/>
  <dc:description/>
  <dc:language>zh-CN</dc:language>
  <cp:lastModifiedBy/>
  <dcterms:modified xsi:type="dcterms:W3CDTF">2026-05-22T15:19:37Z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